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AE6C35" w:rsidRDefault="00AE6C35" w:rsidP="00AE6C35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AE6C35" w:rsidP="00AE6C35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 xml:space="preserve"> </w:t>
      </w:r>
      <w:r w:rsidR="0075560F"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077961" w:rsidRDefault="00077961" w:rsidP="00AE6C3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История Великобритании середины </w:t>
      </w:r>
      <w:r>
        <w:rPr>
          <w:b/>
          <w:bCs/>
          <w:color w:val="000000"/>
          <w:lang w:val="en-US"/>
        </w:rPr>
        <w:t>XIX</w:t>
      </w:r>
      <w:r w:rsidRPr="000779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века в печати и карикатурах</w:t>
      </w:r>
    </w:p>
    <w:p w:rsidR="0063586E" w:rsidRPr="00077961" w:rsidRDefault="00077961" w:rsidP="00AE6C3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Special course “</w:t>
      </w:r>
      <w:r w:rsidR="00AE6C35" w:rsidRPr="00AE6C35">
        <w:rPr>
          <w:b/>
          <w:bCs/>
          <w:lang w:val="en-US"/>
        </w:rPr>
        <w:t xml:space="preserve">History of </w:t>
      </w:r>
      <w:r>
        <w:rPr>
          <w:b/>
          <w:bCs/>
          <w:lang w:val="en-US"/>
        </w:rPr>
        <w:t>Mid-19</w:t>
      </w:r>
      <w:r w:rsidRPr="00077961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Century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Great Britain</w:t>
          </w:r>
        </w:smartTag>
      </w:smartTag>
      <w:r>
        <w:rPr>
          <w:b/>
          <w:bCs/>
          <w:lang w:val="en-US"/>
        </w:rPr>
        <w:t xml:space="preserve"> in Press and Cartoons</w:t>
      </w:r>
    </w:p>
    <w:p w:rsidR="004C1E53" w:rsidRPr="00AE6C35" w:rsidRDefault="004C1E53" w:rsidP="004C1E53">
      <w:pPr>
        <w:jc w:val="center"/>
        <w:rPr>
          <w:lang w:val="en-US"/>
        </w:rPr>
      </w:pPr>
      <w:r w:rsidRPr="00AE6C35">
        <w:rPr>
          <w:lang w:val="en-US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E51B3C" w:rsidRPr="004C1E53" w:rsidRDefault="004C1E53" w:rsidP="00E51B3C">
      <w:pPr>
        <w:jc w:val="center"/>
      </w:pPr>
      <w:r w:rsidRPr="004C1E53">
        <w:rPr>
          <w:b/>
        </w:rPr>
        <w:t xml:space="preserve"> </w:t>
      </w:r>
      <w:r w:rsidR="00E51B3C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E51B3C" w:rsidRDefault="004C1E53" w:rsidP="004C1E53">
      <w:pPr>
        <w:jc w:val="right"/>
        <w:rPr>
          <w:u w:val="single"/>
        </w:rPr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E51B3C">
        <w:t xml:space="preserve"> _____</w:t>
      </w:r>
      <w:r w:rsidR="004E7E8E" w:rsidRPr="004E7E8E">
        <w:t>1</w:t>
      </w:r>
      <w:r w:rsidR="00E51B3C">
        <w:t>___</w:t>
      </w:r>
      <w:r w:rsidR="00E51B3C">
        <w:rPr>
          <w:u w:val="single"/>
        </w:rPr>
        <w:t xml:space="preserve">  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E51B3C">
        <w:rPr>
          <w:szCs w:val="24"/>
        </w:rPr>
        <w:t>16</w:t>
      </w:r>
      <w:r w:rsidR="004C1E53" w:rsidRPr="004C1E53">
        <w:br w:type="page"/>
      </w:r>
    </w:p>
    <w:p w:rsidR="004C1E53" w:rsidRDefault="004C1E53" w:rsidP="004C1E53">
      <w:pPr>
        <w:rPr>
          <w:b/>
        </w:rPr>
      </w:pPr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Default="004C1E53" w:rsidP="004C1E53">
      <w:pPr>
        <w:rPr>
          <w:b/>
        </w:rPr>
      </w:pPr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CC0F07" w:rsidRPr="00CC0F07" w:rsidRDefault="00E51B3C" w:rsidP="00CC0F07">
      <w:pPr>
        <w:rPr>
          <w:bCs/>
          <w:color w:val="000000"/>
        </w:rPr>
      </w:pPr>
      <w:r w:rsidRPr="00CC0F07">
        <w:rPr>
          <w:color w:val="000000"/>
        </w:rPr>
        <w:t>Учебная дисциплина "</w:t>
      </w:r>
      <w:r w:rsidR="00CC0F07" w:rsidRPr="00CC0F07">
        <w:rPr>
          <w:bCs/>
          <w:color w:val="000000"/>
        </w:rPr>
        <w:t xml:space="preserve"> История Великобритании середины </w:t>
      </w:r>
      <w:r w:rsidR="00CC0F07" w:rsidRPr="00CC0F07">
        <w:rPr>
          <w:bCs/>
          <w:color w:val="000000"/>
          <w:lang w:val="en-US"/>
        </w:rPr>
        <w:t>XIX</w:t>
      </w:r>
      <w:r w:rsidR="00CC0F07" w:rsidRPr="00CC0F07">
        <w:rPr>
          <w:bCs/>
          <w:color w:val="000000"/>
        </w:rPr>
        <w:t xml:space="preserve"> века в печати и карикатурах</w:t>
      </w:r>
      <w:r w:rsidRPr="00CC0F07">
        <w:rPr>
          <w:color w:val="000000"/>
        </w:rPr>
        <w:t>" предусмотрена компетентностно-ориентированным учебным планом по направлению «История». Учебная дисциплина является дисциплиной по выбору при подготовке бакалавров по профилизации "Всеобщая история".</w:t>
      </w:r>
      <w:r w:rsidRPr="00CC0F07">
        <w:rPr>
          <w:color w:val="000000"/>
        </w:rPr>
        <w:br/>
        <w:t xml:space="preserve"> </w:t>
      </w:r>
      <w:r w:rsidRPr="00CC0F07">
        <w:rPr>
          <w:color w:val="000000"/>
        </w:rPr>
        <w:tab/>
      </w:r>
      <w:r w:rsidR="00CC0F07" w:rsidRPr="00CC0F07">
        <w:rPr>
          <w:color w:val="000000"/>
        </w:rPr>
        <w:t>Целью изучения данной учебной дисциплины является усвоение студентами углубленных знаний об истории Великобритании середины XIX века. в отображении карикатуристов и журналистов. Учебная дисциплина является дисциплиной по выбору в подготовке студентов профиля «Всеобщая история» по специализации «История Нового и новейшего времени».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CC0F07" w:rsidRDefault="00CC0F07" w:rsidP="004C1E53">
      <w:pPr>
        <w:rPr>
          <w:color w:val="000000"/>
        </w:rPr>
      </w:pPr>
      <w:r w:rsidRPr="00CC0F07">
        <w:rPr>
          <w:color w:val="000000"/>
        </w:rPr>
        <w:t>Студенты, приступающие к изучению данной дисциплины, должны знать курс «История Нового времени 1815-1870» и параллельно применять полученные знания для написания курсовых и дипломных работ. Предварительно студентами был прослушан курс «История английского парламента в 1832-1867 гг.: законы и мнения», который был посвящен основным событиям истории Великобритании в рассматриваемый период.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CC0F07" w:rsidRDefault="00E51B3C" w:rsidP="00E51B3C">
      <w:r>
        <w:t xml:space="preserve">   Совместно с другими дисциплинами участвует в формировании следующих компетенций:</w:t>
      </w:r>
      <w:r>
        <w:br/>
      </w:r>
    </w:p>
    <w:p w:rsidR="00CC0F07" w:rsidRPr="00CC0F07" w:rsidRDefault="00CC0F07" w:rsidP="00CC0F07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CC0F07">
        <w:rPr>
          <w:rFonts w:eastAsia="Times New Roman"/>
          <w:szCs w:val="24"/>
          <w:lang w:eastAsia="ru-RU"/>
        </w:rPr>
        <w:t>ПК- 1.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CC0F07" w:rsidRPr="00CC0F07" w:rsidRDefault="00CC0F07" w:rsidP="00CC0F07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</w:p>
    <w:p w:rsidR="00CC0F07" w:rsidRPr="00CC0F07" w:rsidRDefault="00CC0F07" w:rsidP="00CC0F07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  <w:r w:rsidRPr="00CC0F07">
        <w:rPr>
          <w:rFonts w:eastAsia="Times New Roman"/>
          <w:szCs w:val="24"/>
          <w:lang w:eastAsia="ru-RU"/>
        </w:rPr>
        <w:t>ПК-</w:t>
      </w:r>
      <w:smartTag w:uri="urn:schemas-microsoft-com:office:smarttags" w:element="metricconverter">
        <w:smartTagPr>
          <w:attr w:name="ProductID" w:val="3. Г"/>
        </w:smartTagPr>
        <w:r w:rsidRPr="00CC0F07">
          <w:rPr>
            <w:rFonts w:eastAsia="Times New Roman"/>
            <w:szCs w:val="24"/>
            <w:lang w:eastAsia="ru-RU"/>
          </w:rPr>
          <w:t>3. Г</w:t>
        </w:r>
      </w:smartTag>
      <w:r w:rsidRPr="00CC0F07">
        <w:rPr>
          <w:rFonts w:eastAsia="Times New Roman"/>
          <w:szCs w:val="24"/>
          <w:lang w:eastAsia="ru-RU"/>
        </w:rPr>
        <w:t xml:space="preserve"> 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</w:t>
      </w:r>
    </w:p>
    <w:p w:rsidR="00CC0F07" w:rsidRPr="00CC0F07" w:rsidRDefault="00CC0F07" w:rsidP="00CC0F07">
      <w:pPr>
        <w:autoSpaceDE w:val="0"/>
        <w:autoSpaceDN w:val="0"/>
        <w:adjustRightInd w:val="0"/>
        <w:spacing w:before="0" w:after="0"/>
        <w:rPr>
          <w:rFonts w:eastAsia="Times New Roman"/>
          <w:szCs w:val="24"/>
          <w:lang w:eastAsia="ru-RU"/>
        </w:rPr>
      </w:pPr>
    </w:p>
    <w:p w:rsidR="00CC0F07" w:rsidRPr="00CC0F07" w:rsidRDefault="00CC0F07" w:rsidP="00CC0F07">
      <w:pPr>
        <w:autoSpaceDE w:val="0"/>
        <w:autoSpaceDN w:val="0"/>
        <w:adjustRightInd w:val="0"/>
        <w:spacing w:before="0" w:after="0"/>
        <w:rPr>
          <w:szCs w:val="24"/>
        </w:rPr>
      </w:pPr>
      <w:r w:rsidRPr="00CC0F07">
        <w:rPr>
          <w:rFonts w:eastAsia="Times New Roman"/>
          <w:szCs w:val="24"/>
          <w:lang w:eastAsia="ru-RU"/>
        </w:rPr>
        <w:t>ПК-7. Владение специальной исторической терминологией, умение «читать» исторические источники</w:t>
      </w:r>
    </w:p>
    <w:p w:rsidR="004C1E53" w:rsidRDefault="004C1E53" w:rsidP="00E51B3C">
      <w:p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CC0F07" w:rsidRDefault="00CC0F07" w:rsidP="00E51B3C">
      <w:pPr>
        <w:rPr>
          <w:sz w:val="20"/>
          <w:szCs w:val="20"/>
        </w:rPr>
      </w:pPr>
    </w:p>
    <w:p w:rsidR="00CC0F07" w:rsidRPr="004C1E53" w:rsidRDefault="00CC0F07" w:rsidP="00CC0F07">
      <w:r w:rsidRPr="000D4093">
        <w:t>В учебном плане для дисциплины "</w:t>
      </w:r>
      <w:r w:rsidRPr="00CC0F07">
        <w:rPr>
          <w:bCs/>
          <w:color w:val="000000"/>
        </w:rPr>
        <w:t xml:space="preserve"> История Великобритании середины </w:t>
      </w:r>
      <w:r w:rsidRPr="00CC0F07">
        <w:rPr>
          <w:bCs/>
          <w:color w:val="000000"/>
          <w:lang w:val="en-US"/>
        </w:rPr>
        <w:t>XIX</w:t>
      </w:r>
      <w:r w:rsidRPr="00CC0F07">
        <w:rPr>
          <w:bCs/>
          <w:color w:val="000000"/>
        </w:rPr>
        <w:t xml:space="preserve"> века в печати и карикатурах</w:t>
      </w:r>
      <w:r w:rsidRPr="000D4093">
        <w:t>" часы на активные и интерактивные формы учебных занятий не предусмотрены. Однако для повышения качества освоения этого курса при проведении л</w:t>
      </w:r>
      <w:r>
        <w:t xml:space="preserve">екционных занятий используются </w:t>
      </w:r>
      <w:r w:rsidRPr="000D4093">
        <w:t>различные демонстрационные материалы, в том числе копии документов, фотографии, визуальный ряд, фрагменты публикаций, художественной критики, мемуаристики,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презентации.</w:t>
      </w:r>
    </w:p>
    <w:p w:rsidR="00CC0F07" w:rsidRDefault="00CC0F07" w:rsidP="00CC0F07"/>
    <w:p w:rsidR="00CC0F07" w:rsidRDefault="00CC0F07" w:rsidP="004C1E53">
      <w:pPr>
        <w:rPr>
          <w:b/>
        </w:rPr>
      </w:pP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lastRenderedPageBreak/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3A5E4C" w:rsidRDefault="003A5E4C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3A5E4C" w:rsidRDefault="003A5E4C" w:rsidP="004C1E53">
      <w:pPr>
        <w:jc w:val="center"/>
        <w:rPr>
          <w:i/>
        </w:rPr>
      </w:pPr>
    </w:p>
    <w:tbl>
      <w:tblPr>
        <w:tblW w:w="9868" w:type="dxa"/>
        <w:tblInd w:w="96" w:type="dxa"/>
        <w:tblLayout w:type="fixed"/>
        <w:tblLook w:val="0000"/>
      </w:tblPr>
      <w:tblGrid>
        <w:gridCol w:w="732"/>
        <w:gridCol w:w="449"/>
        <w:gridCol w:w="449"/>
        <w:gridCol w:w="449"/>
        <w:gridCol w:w="662"/>
        <w:gridCol w:w="662"/>
        <w:gridCol w:w="662"/>
        <w:gridCol w:w="449"/>
        <w:gridCol w:w="650"/>
        <w:gridCol w:w="662"/>
        <w:gridCol w:w="662"/>
        <w:gridCol w:w="662"/>
        <w:gridCol w:w="650"/>
        <w:gridCol w:w="650"/>
        <w:gridCol w:w="583"/>
        <w:gridCol w:w="475"/>
        <w:gridCol w:w="360"/>
      </w:tblGrid>
      <w:tr w:rsidR="003A5E4C" w:rsidRPr="003A5E4C" w:rsidTr="003A5E4C">
        <w:trPr>
          <w:trHeight w:val="300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Трудоемкость, объемы учебной работы и наполняемость групп обучающихся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обучения (модуль)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Контактная работа обучающегося с преподавателем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Объём активных и интерактивных форм учебных занятий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Трудоёмкость</w:t>
            </w:r>
          </w:p>
        </w:tc>
      </w:tr>
      <w:tr w:rsidR="003A5E4C" w:rsidRPr="003A5E4C" w:rsidTr="003A5E4C">
        <w:trPr>
          <w:trHeight w:val="2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практические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занятия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лабораторные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контрольные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коллоквиумы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промежуточная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аттестация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 руководством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присутствии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сам. раб. с использованием методических материалов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 (сам.раб.)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промежуточная аттестация (сам.раб.)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ОСНОВНАЯ ТРАЕКТОРИЯ</w:t>
            </w: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очная форма обучения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CC0F0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CC0F07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27B2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CC0F0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CC0F07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55292C" w:rsidRDefault="001D24DE" w:rsidP="004C1E53">
      <w:pPr>
        <w:rPr>
          <w:i/>
          <w:lang w:val="en-US"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55292C">
        <w:rPr>
          <w:b/>
          <w:lang w:val="en-US"/>
        </w:rPr>
        <w:t>7</w:t>
      </w:r>
    </w:p>
    <w:p w:rsidR="004C1E53" w:rsidRDefault="00C730E5" w:rsidP="004C1E53">
      <w:r>
        <w:br w:type="page"/>
      </w:r>
    </w:p>
    <w:tbl>
      <w:tblPr>
        <w:tblW w:w="9349" w:type="dxa"/>
        <w:tblInd w:w="96" w:type="dxa"/>
        <w:tblLook w:val="0000"/>
      </w:tblPr>
      <w:tblGrid>
        <w:gridCol w:w="732"/>
        <w:gridCol w:w="3960"/>
        <w:gridCol w:w="3240"/>
        <w:gridCol w:w="1417"/>
      </w:tblGrid>
      <w:tr w:rsidR="003A5E4C" w:rsidRPr="003A5E4C" w:rsidTr="00C730E5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Наименования темы (раздела, части)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C730E5" w:rsidRPr="003A5E4C" w:rsidTr="00103F53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C730E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30E5" w:rsidRDefault="00C730E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Вводная лекция. Историография.</w:t>
            </w:r>
          </w:p>
          <w:p w:rsidR="00C730E5" w:rsidRPr="00C730E5" w:rsidRDefault="00C730E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Традиции изучения карикатур в России и Европе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C730E5" w:rsidRPr="003A5E4C" w:rsidTr="00103F53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C730E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30E5" w:rsidRPr="00C730E5" w:rsidRDefault="00C730E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C730E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730E5" w:rsidRPr="003A5E4C" w:rsidTr="00103F53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C730E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0E5" w:rsidRPr="00C730E5" w:rsidRDefault="00C730E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E5" w:rsidRPr="003A5E4C" w:rsidRDefault="00C730E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3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Default="009F59A5" w:rsidP="00C730E5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Карикатуры и газеты как специфический источник.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«Чтение» карикатур.</w:t>
            </w:r>
          </w:p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36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C730E5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36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C730E5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738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Технологические предпосылки появления и распространения цветной карикатуры. Развитие печати к середине XIX века: газеты, журналы, ежеквартальные обзоры. Тиражи, чтение, способы печати, "налоги на знание". Ценура. Английская журналистика.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73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737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64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Биографии наиболее известных английских карикатуристов.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Уильям Хогарт († 1764), Джемс Гилрей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 (1757—1815), Томас Роул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ндсон (1756—18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27). Джон Лич (Leech, 1817-64), Исаак Крукшенк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64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64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103F53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462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Европа и Россия в карикатуре. Состояние карикатуры во Франции, Германии и США.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Образ России в английской политической карикатуре.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46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46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103F53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103F53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18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«Золотой век» английской карикатуры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18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184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37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Джон Булль - собирательный образ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английского джентльмена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. "Бонни",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русский медведь, Падди,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 дядюшка Сэм и другие персонажи.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36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36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83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Карикатурная традиция конца XVIII - начала XIX вв. Изменение образа монарха в карикатуре. Причины процветания сатирической карикатуры на монархов до 1837. Мораль и нравы </w:t>
            </w: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викторианской Англии и их влияние на развитие политической карикатуры.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103F53">
        <w:trPr>
          <w:trHeight w:val="829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103F53">
        <w:trPr>
          <w:trHeight w:val="829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03F53" w:rsidRPr="003A5E4C" w:rsidTr="00103F53">
        <w:trPr>
          <w:trHeight w:val="462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3F53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Политичесская и социальная карикатура. </w:t>
            </w:r>
            <w:r w:rsidR="00651673">
              <w:rPr>
                <w:rFonts w:eastAsia="Times New Roman"/>
                <w:color w:val="000000"/>
                <w:szCs w:val="24"/>
                <w:lang w:eastAsia="ru-RU"/>
              </w:rPr>
              <w:t>Отм</w:t>
            </w:r>
            <w:r w:rsidR="00651673" w:rsidRPr="00C730E5">
              <w:rPr>
                <w:rFonts w:eastAsia="Times New Roman"/>
                <w:color w:val="000000"/>
                <w:szCs w:val="24"/>
                <w:lang w:eastAsia="ru-RU"/>
              </w:rPr>
              <w:t xml:space="preserve">ена Хлебных законов, чартистское движение, </w:t>
            </w:r>
            <w:r w:rsidR="00651673">
              <w:rPr>
                <w:rFonts w:eastAsia="Times New Roman"/>
                <w:color w:val="000000"/>
                <w:szCs w:val="24"/>
                <w:lang w:eastAsia="ru-RU"/>
              </w:rPr>
              <w:t>во</w:t>
            </w:r>
            <w:r w:rsidR="00651673" w:rsidRPr="00C730E5">
              <w:rPr>
                <w:rFonts w:eastAsia="Times New Roman"/>
                <w:color w:val="000000"/>
                <w:szCs w:val="24"/>
                <w:lang w:eastAsia="ru-RU"/>
              </w:rPr>
              <w:t>прос о положении бедных.</w:t>
            </w:r>
            <w:r w:rsidR="00651673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103F53" w:rsidRPr="003A5E4C" w:rsidTr="00103F53">
        <w:trPr>
          <w:trHeight w:val="46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3F53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03F53" w:rsidRPr="003A5E4C" w:rsidTr="00103F53">
        <w:trPr>
          <w:trHeight w:val="46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Default="00103F53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F53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53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Борьба за проведение первой парламентской реформы 1832 и второй парламентской реформы 1867 года в отображении карикатуры.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65167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Карикатуры на премьер-министров Великобритании середины XIX века.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103F53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="009F59A5" w:rsidRPr="00C730E5">
              <w:rPr>
                <w:rFonts w:eastAsia="Times New Roman"/>
                <w:color w:val="000000"/>
                <w:szCs w:val="24"/>
                <w:lang w:eastAsia="ru-RU"/>
              </w:rPr>
              <w:t>опросы войны и мира на страницах периодики.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Крымская война и международные отношения в 1850-х годах.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A5" w:rsidRPr="00C730E5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730E5">
              <w:rPr>
                <w:rFonts w:eastAsia="Times New Roman"/>
                <w:color w:val="000000"/>
                <w:szCs w:val="24"/>
                <w:lang w:eastAsia="ru-RU"/>
              </w:rPr>
              <w:t>Семья Артура Конан Дойля и её вклад в развитие карикатуры и печати. Журнал "Punch".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103F53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F59A5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9A5" w:rsidRPr="003A5E4C" w:rsidRDefault="009F59A5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5" w:rsidRPr="003A5E4C" w:rsidRDefault="009F59A5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3A5E4C" w:rsidRDefault="003A5E4C" w:rsidP="004C1E53"/>
    <w:p w:rsidR="00621026" w:rsidRDefault="00621026" w:rsidP="00621026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621026" w:rsidRPr="00103F53" w:rsidRDefault="00621026" w:rsidP="00103F53"/>
    <w:p w:rsidR="00651673" w:rsidRPr="00103F53" w:rsidRDefault="00651673" w:rsidP="00651673">
      <w:r w:rsidRPr="00651673">
        <w:rPr>
          <w:b/>
        </w:rPr>
        <w:t>Тема 1. Вводная лекция.</w:t>
      </w:r>
      <w:r w:rsidRPr="00103F53">
        <w:t xml:space="preserve"> Историография.</w:t>
      </w:r>
    </w:p>
    <w:p w:rsidR="00651673" w:rsidRDefault="00651673" w:rsidP="00651673">
      <w:r w:rsidRPr="00103F53">
        <w:t>Традиции изучения карикатур в России и Европе</w:t>
      </w:r>
    </w:p>
    <w:p w:rsidR="00651673" w:rsidRDefault="00651673" w:rsidP="00651673"/>
    <w:p w:rsidR="00651673" w:rsidRPr="00103F53" w:rsidRDefault="00651673" w:rsidP="00651673">
      <w:r w:rsidRPr="00651673">
        <w:rPr>
          <w:b/>
        </w:rPr>
        <w:t>Тема 2. Карикатуры и газеты как специфический источник.</w:t>
      </w:r>
      <w:r w:rsidRPr="00103F53">
        <w:t xml:space="preserve"> «Чтение» карикатур.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3. Технологические предпосылки появления и распространения карикатуры.</w:t>
      </w:r>
      <w:r w:rsidRPr="00103F53">
        <w:t xml:space="preserve"> Развитие печати к середине XIX века: газеты, журналы, ежеквартальные обзоры. Тиражи, чтение, способы печати, "налоги на знание". Ценура. Английская журналистика.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4. Биографии наиболее известных английских карикатуристов</w:t>
      </w:r>
      <w:r w:rsidRPr="00103F53">
        <w:t>. Уильям Хогарт († 1764), Джемс Гилрей (1757—1815), Томас Роулендсон (1756—1827). Джон Лич (Leech, 1817-64), Исаак Крукшенк</w:t>
      </w:r>
    </w:p>
    <w:p w:rsidR="00651673" w:rsidRDefault="00651673" w:rsidP="00651673"/>
    <w:p w:rsidR="00651673" w:rsidRDefault="00651673" w:rsidP="00651673">
      <w:r w:rsidRPr="00651673">
        <w:rPr>
          <w:b/>
        </w:rPr>
        <w:lastRenderedPageBreak/>
        <w:t>Тема 5. Европа и Россия в карикатуре.</w:t>
      </w:r>
      <w:r w:rsidRPr="00103F53">
        <w:t xml:space="preserve"> Состояние карикатуры во Франции, Германии и США. Образ России в английской политической карикатуре.</w:t>
      </w:r>
    </w:p>
    <w:p w:rsidR="00651673" w:rsidRDefault="00651673" w:rsidP="00651673"/>
    <w:p w:rsidR="00651673" w:rsidRPr="00651673" w:rsidRDefault="00651673" w:rsidP="00651673">
      <w:pPr>
        <w:rPr>
          <w:b/>
        </w:rPr>
      </w:pPr>
      <w:r w:rsidRPr="00651673">
        <w:rPr>
          <w:b/>
        </w:rPr>
        <w:t>Тема 6. «Золотой век» английской карикатуры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7.</w:t>
      </w:r>
      <w:r>
        <w:t xml:space="preserve"> </w:t>
      </w:r>
      <w:r w:rsidRPr="00651673">
        <w:rPr>
          <w:b/>
        </w:rPr>
        <w:t>Метафорические образы, символизирующие страны и их народ.</w:t>
      </w:r>
      <w:r>
        <w:t xml:space="preserve"> </w:t>
      </w:r>
      <w:r w:rsidRPr="00103F53">
        <w:t>Джон Булль - собирательный образ английского джентльмена. "Бонни", русский медведь, Падди, дядюшка Сэм и другие персонажи.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8. Карикатурная традиция конца XVIII - начала XIX вв.</w:t>
      </w:r>
      <w:r w:rsidRPr="00103F53">
        <w:t xml:space="preserve"> Изменение образа монарха в карикатуре. Причины процветания сатирической карикатуры на монархов до 1837. Мораль и нравы викторианской Англии и их влияние на развитие политической карикатуры.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9. Политичесская и социальная карикатура.</w:t>
      </w:r>
      <w:r w:rsidRPr="00103F53">
        <w:t xml:space="preserve"> Отмена Хлебных законов, чартистское движение, вопрос о положении бедных.</w:t>
      </w:r>
    </w:p>
    <w:p w:rsidR="00651673" w:rsidRDefault="00651673" w:rsidP="00651673"/>
    <w:p w:rsidR="00651673" w:rsidRPr="00103F53" w:rsidRDefault="00651673" w:rsidP="00651673">
      <w:pPr>
        <w:jc w:val="left"/>
      </w:pPr>
      <w:r w:rsidRPr="00651673">
        <w:rPr>
          <w:b/>
        </w:rPr>
        <w:t>Тема 10. Парламент в карикатуре.</w:t>
      </w:r>
      <w:r>
        <w:t xml:space="preserve"> </w:t>
      </w:r>
      <w:r w:rsidRPr="00103F53">
        <w:t>Борьба за проведение первой парламентской реформы 1832 и второй парламентской реформы 1867 года в отображении карикатуры.</w:t>
      </w:r>
    </w:p>
    <w:p w:rsidR="00651673" w:rsidRDefault="00651673" w:rsidP="00651673"/>
    <w:p w:rsidR="00651673" w:rsidRPr="00651673" w:rsidRDefault="00651673" w:rsidP="00651673">
      <w:pPr>
        <w:rPr>
          <w:b/>
        </w:rPr>
      </w:pPr>
      <w:r w:rsidRPr="00651673">
        <w:rPr>
          <w:b/>
        </w:rPr>
        <w:t>Тема 11. Карикатуры на премьер-министров Великобритании середины XIX века.</w:t>
      </w:r>
    </w:p>
    <w:p w:rsidR="00651673" w:rsidRDefault="00651673" w:rsidP="00651673"/>
    <w:p w:rsidR="00651673" w:rsidRDefault="00651673" w:rsidP="00651673">
      <w:r>
        <w:t>Т</w:t>
      </w:r>
      <w:r w:rsidRPr="00651673">
        <w:rPr>
          <w:b/>
        </w:rPr>
        <w:t>ема 12. Вопросы войны и мира на страницах периодики.</w:t>
      </w:r>
      <w:r w:rsidRPr="00103F53">
        <w:t xml:space="preserve"> Крымская война и международные отношения в 1850-х годах.</w:t>
      </w:r>
    </w:p>
    <w:p w:rsidR="00651673" w:rsidRDefault="00651673" w:rsidP="00651673"/>
    <w:p w:rsidR="00651673" w:rsidRDefault="00651673" w:rsidP="00651673">
      <w:r w:rsidRPr="00651673">
        <w:rPr>
          <w:b/>
        </w:rPr>
        <w:t>Тема 13. Семья Артура Конан Дойля и её вклад в развитие карикатуры и печати.</w:t>
      </w:r>
      <w:r w:rsidRPr="00103F53">
        <w:t xml:space="preserve"> Журнал "Punch".</w:t>
      </w:r>
    </w:p>
    <w:p w:rsidR="00621026" w:rsidRPr="004C1E53" w:rsidRDefault="00621026" w:rsidP="004C1E5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103F53" w:rsidRDefault="00CE5C77" w:rsidP="00CE5C77">
      <w:pPr>
        <w:spacing w:after="240"/>
      </w:pPr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CE5C77" w:rsidRDefault="00CE5C77" w:rsidP="00CE5C77">
      <w:pPr>
        <w:spacing w:after="240"/>
        <w:rPr>
          <w:szCs w:val="24"/>
        </w:rPr>
      </w:pPr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карт, представляющих визуальный ряд.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C1E53" w:rsidRDefault="004C1E53" w:rsidP="004C1E53">
      <w:r w:rsidRPr="004C1E53">
        <w:lastRenderedPageBreak/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103F53" w:rsidRDefault="00103F53" w:rsidP="004C1E53">
      <w:r>
        <w:t xml:space="preserve">Для получения «зачета» студенту необходимо в письменной форме проанализировать одну из английских карикатур середины </w:t>
      </w:r>
      <w:r>
        <w:rPr>
          <w:lang w:val="en-US"/>
        </w:rPr>
        <w:t>XIX</w:t>
      </w:r>
      <w:r w:rsidRPr="00103F53">
        <w:t xml:space="preserve"> </w:t>
      </w:r>
      <w:r>
        <w:t>века (объём работы 15000 знаков с пробелами).</w:t>
      </w:r>
    </w:p>
    <w:p w:rsidR="00103F53" w:rsidRPr="00103F53" w:rsidRDefault="00103F53" w:rsidP="004C1E53">
      <w:r>
        <w:t>Изложение материала должно быть последовательным и логичным, содержание  работы должно отвечать заявленной теме. Текст работы должен представлять:</w:t>
      </w:r>
      <w:r>
        <w:br/>
        <w:t>– результат историографического обзора изучаемого вопроса;</w:t>
      </w:r>
      <w:r>
        <w:br/>
        <w:t>– последовательное нарративное изложение сути изучаемого предмета;</w:t>
      </w:r>
      <w:r>
        <w:br/>
        <w:t>– результат ознакомления с научной литературой ;</w:t>
      </w:r>
      <w:r>
        <w:br/>
        <w:t>– владение соответствующим теме понятийным и терминологическим аппаратом.</w:t>
      </w:r>
      <w:r>
        <w:br/>
      </w:r>
    </w:p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CE5C77" w:rsidRDefault="00CE5C77" w:rsidP="00CE5C77">
      <w:pPr>
        <w:spacing w:after="240"/>
        <w:jc w:val="left"/>
        <w:rPr>
          <w:color w:val="000000"/>
        </w:rPr>
      </w:pPr>
      <w:r>
        <w:rPr>
          <w:b/>
          <w:bCs/>
          <w:color w:val="000000"/>
          <w:u w:val="single"/>
        </w:rPr>
        <w:t xml:space="preserve">Список вопросов для проведения промежуточной аттестации по курсу </w:t>
      </w:r>
      <w:r>
        <w:rPr>
          <w:color w:val="000000"/>
        </w:rPr>
        <w:t xml:space="preserve"> 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1. Карикатуры и газеты как специфический источник.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2. Развитие печати к середине XIX века: газеты, журналы, ежеквартальные обзоры.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3. Состояние карикатуры во Франции, Германии и США в середине XIX в.: сравнение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4. Образ Джона Булля.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5. Карикатурная традиция конца XVIII - начала XIX вв.</w:t>
      </w:r>
    </w:p>
    <w:p w:rsidR="00103F53" w:rsidRP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6. Мораль и нравы викторианской Англии и их влияние на развитие политической карикатуры.</w:t>
      </w:r>
    </w:p>
    <w:p w:rsidR="00103F53" w:rsidRDefault="00103F53" w:rsidP="00103F53">
      <w:pPr>
        <w:spacing w:before="0" w:after="0"/>
        <w:jc w:val="left"/>
        <w:rPr>
          <w:color w:val="000000"/>
        </w:rPr>
      </w:pPr>
      <w:r w:rsidRPr="00103F53">
        <w:rPr>
          <w:color w:val="000000"/>
        </w:rPr>
        <w:t>7. Английская журналистика середины XIX в. и журнал «Punch»</w:t>
      </w:r>
    </w:p>
    <w:p w:rsidR="004F0CC3" w:rsidRDefault="004F0CC3" w:rsidP="00103F53">
      <w:pPr>
        <w:spacing w:before="0" w:after="0"/>
        <w:jc w:val="left"/>
        <w:rPr>
          <w:color w:val="000000"/>
        </w:rPr>
      </w:pPr>
    </w:p>
    <w:p w:rsidR="004F0CC3" w:rsidRDefault="004F0CC3" w:rsidP="00103F53">
      <w:pPr>
        <w:spacing w:before="0" w:after="0"/>
        <w:jc w:val="left"/>
        <w:rPr>
          <w:color w:val="000000"/>
        </w:rPr>
      </w:pPr>
    </w:p>
    <w:p w:rsidR="004F0CC3" w:rsidRPr="00103F53" w:rsidRDefault="004F0CC3" w:rsidP="00103F53">
      <w:pPr>
        <w:spacing w:before="0" w:after="0"/>
        <w:jc w:val="left"/>
        <w:rPr>
          <w:color w:val="000000"/>
        </w:rPr>
      </w:pPr>
    </w:p>
    <w:p w:rsidR="0075560F" w:rsidRPr="004C1E53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103F53" w:rsidRPr="00103F53" w:rsidRDefault="00CE5C77" w:rsidP="00103F53">
      <w:pPr>
        <w:jc w:val="left"/>
        <w:rPr>
          <w:iCs/>
          <w:color w:val="000000"/>
          <w:szCs w:val="24"/>
        </w:rPr>
      </w:pPr>
      <w:r>
        <w:rPr>
          <w:color w:val="000000"/>
        </w:rPr>
        <w:t xml:space="preserve">   Анкета-отзыв на учебную дисциплину </w:t>
      </w:r>
      <w:r w:rsidR="00103F53" w:rsidRPr="00103F53">
        <w:rPr>
          <w:iCs/>
          <w:color w:val="000000"/>
        </w:rPr>
        <w:t>«История Великобритании середины XIX века в печати и карикатурах».</w:t>
      </w:r>
    </w:p>
    <w:p w:rsidR="00CE5C77" w:rsidRDefault="00CE5C77" w:rsidP="00CE5C77">
      <w:pPr>
        <w:jc w:val="left"/>
        <w:rPr>
          <w:color w:val="000000"/>
          <w:szCs w:val="24"/>
        </w:rPr>
      </w:pPr>
      <w:r>
        <w:rPr>
          <w:color w:val="000000"/>
        </w:rPr>
        <w:br/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  <w:r>
        <w:rPr>
          <w:color w:val="000000"/>
        </w:rPr>
        <w:br/>
        <w:t>1. Насколько Вы удовлетворены содержанием дисциплины в целом?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</w:r>
      <w:r>
        <w:rPr>
          <w:color w:val="000000"/>
        </w:rPr>
        <w:lastRenderedPageBreak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К проведению занятий должны допускаться преподаватели, имеющие базовое образование </w:t>
      </w:r>
      <w:r>
        <w:rPr>
          <w:color w:val="993300"/>
        </w:rPr>
        <w:t>,</w:t>
      </w:r>
      <w:r>
        <w:rPr>
          <w:color w:val="000000"/>
        </w:rPr>
        <w:t xml:space="preserve"> </w:t>
      </w:r>
      <w:r>
        <w:t>а также ст</w:t>
      </w:r>
      <w:r>
        <w:rPr>
          <w:color w:val="000000"/>
        </w:rPr>
        <w:t>аж педагогической работы не менее 1 года.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CE5C77" w:rsidRDefault="00CE5C77" w:rsidP="00CE5C77">
      <w:pPr>
        <w:rPr>
          <w:szCs w:val="24"/>
        </w:rPr>
      </w:pPr>
      <w:r>
        <w:t>a) наличие доски, аудиовизуальной техники, включая мультимедиапроектор, компьютер.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CE5C77" w:rsidRDefault="004F0CC3" w:rsidP="00CE5C77">
      <w:pPr>
        <w:rPr>
          <w:szCs w:val="24"/>
        </w:rPr>
      </w:pPr>
      <w:r>
        <w:t>мультимедиапроектор</w:t>
      </w:r>
      <w:r w:rsidR="003B4185">
        <w:t xml:space="preserve"> и экран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Программное обеспечение Windows7-10 и пакет Office-2014, Acrobat Reader.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Возможность копирования и размножения текстов в объеме, необходимом для организации и проведения занятий по заявкам преподавателей.</w:t>
      </w:r>
    </w:p>
    <w:p w:rsidR="004C1E53" w:rsidRPr="004C1E53" w:rsidRDefault="004C1E53" w:rsidP="004C1E53"/>
    <w:p w:rsidR="004C1E53" w:rsidRPr="004F0CC3" w:rsidRDefault="004C1E53" w:rsidP="004C1E53">
      <w:r w:rsidRPr="004F0CC3">
        <w:rPr>
          <w:b/>
        </w:rPr>
        <w:t>3.4.</w:t>
      </w:r>
      <w:r w:rsidRPr="004F0CC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F0CC3">
        <w:t>3.4.1</w:t>
      </w:r>
      <w:r w:rsidRPr="004F0CC3">
        <w:tab/>
        <w:t>Список обязательной литературы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Сатирическая карикатура периода Отечественной войны 1812 года = 1812 Patriotic War Satirical Caricatures / материалы подгот. С. Надыкта // Русская галерея - XXI век = RUSSIAN GALLERY - XXI c. — 2011. — N 1. — С. 75-81.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Злотницкий, Д. Эволюция: карикатуры / Дмитрий Злотницкий // Мир фантастики. — 2011. - N 92. - С. 144-145.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Жаковска, М. Медведь на охоте, охота на медведя : Россия в нем. карикатуре ХIХ-ХХ вв. [Электронный ресурс] / М. Жаковска // Политическая лингвистика. - 2011. - N 1. - С. 15-19. - Режим доступа :</w:t>
      </w:r>
      <w:r w:rsidRPr="004F0CC3">
        <w:rPr>
          <w:rStyle w:val="apple-converted-space"/>
          <w:color w:val="000000"/>
        </w:rPr>
        <w:t> </w:t>
      </w:r>
      <w:hyperlink r:id="rId7" w:history="1">
        <w:r w:rsidRPr="004F0CC3">
          <w:rPr>
            <w:rStyle w:val="a8"/>
            <w:color w:val="615D8D"/>
            <w:bdr w:val="none" w:sz="0" w:space="0" w:color="auto" w:frame="1"/>
          </w:rPr>
          <w:t>http://www.ebiblioteka.ru</w:t>
        </w:r>
      </w:hyperlink>
      <w:r w:rsidRPr="004F0CC3">
        <w:rPr>
          <w:color w:val="000000"/>
        </w:rPr>
        <w:t>, регламентир. (11.04.2012).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Голиков, А. Г. Проблемы источниковедческого изучения политической карикатуры вторая половина XIX- начало XX в.) [Электронный ресурс] / А. Г. Голиков // Вестник Московского университета. Сер. 8, История. - Электрон. дан. - 2011. - N 4. - С. 51-71. – Режим доступа:</w:t>
      </w:r>
      <w:r w:rsidRPr="004F0CC3">
        <w:rPr>
          <w:rStyle w:val="apple-converted-space"/>
          <w:color w:val="000000"/>
        </w:rPr>
        <w:t> </w:t>
      </w:r>
      <w:hyperlink r:id="rId8" w:history="1">
        <w:r w:rsidRPr="004F0CC3">
          <w:rPr>
            <w:rStyle w:val="a8"/>
            <w:color w:val="615D8D"/>
            <w:bdr w:val="none" w:sz="0" w:space="0" w:color="auto" w:frame="1"/>
          </w:rPr>
          <w:t>http://elibrary.ru</w:t>
        </w:r>
      </w:hyperlink>
      <w:r w:rsidRPr="004F0CC3">
        <w:rPr>
          <w:color w:val="000000"/>
        </w:rPr>
        <w:t>, регламентир. (11.04.2012).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lastRenderedPageBreak/>
        <w:t>Сидоркин, П. Смех: выпуск социального пара / Павел Сидоркин // Вокруг света. - 2011. - N 12. - С. 242-247.</w:t>
      </w:r>
    </w:p>
    <w:p w:rsidR="004F0CC3" w:rsidRPr="004F0CC3" w:rsidRDefault="004F0CC3" w:rsidP="004F0CC3">
      <w:pPr>
        <w:pStyle w:val="af1"/>
        <w:numPr>
          <w:ilvl w:val="0"/>
          <w:numId w:val="33"/>
        </w:numPr>
        <w:spacing w:before="0" w:beforeAutospacing="0" w:after="0" w:afterAutospacing="0" w:line="253" w:lineRule="atLeast"/>
        <w:jc w:val="both"/>
        <w:textAlignment w:val="baseline"/>
        <w:rPr>
          <w:color w:val="000000"/>
        </w:rPr>
      </w:pPr>
      <w:r w:rsidRPr="004F0CC3">
        <w:rPr>
          <w:color w:val="000000"/>
        </w:rPr>
        <w:t>Голиков, А. Г. Проблемы источниковедческого изучения политической карикатуры / А. Г. Голиков // Вестник Московского университета. Сер. 8, История. - 2011. - N 4. - С. 51-71.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3B4185" w:rsidRDefault="003B4185" w:rsidP="003B4185">
      <w:pPr>
        <w:spacing w:before="0" w:after="0"/>
        <w:jc w:val="left"/>
      </w:pPr>
      <w:r w:rsidRPr="003B4185">
        <w:t>1. Айзенштат М.П. Британия Нового времени. Политическая история: учебное пособие. М., 2007.</w:t>
      </w:r>
      <w:r w:rsidRPr="003B4185">
        <w:br/>
        <w:t>2. Бурова И.И. Две тысячи лет истории Англии. СПб., 2001.</w:t>
      </w:r>
      <w:r w:rsidRPr="003B4185">
        <w:br/>
        <w:t>3. Викторианцы. Столпы британской политики XIX века/ Под ред. И.М. Узнародова. Ростов н/Д, 1996</w:t>
      </w:r>
      <w:r w:rsidRPr="003B4185">
        <w:br/>
        <w:t>4. Дукельская Л.А. Томас Роуландсон: Каталог выставки. Л., 1979</w:t>
      </w:r>
      <w:r w:rsidRPr="003B4185">
        <w:br/>
        <w:t>5. Ерофеев Н.А. Очерки по истории Англии 1815-1917 гг. М., 1959</w:t>
      </w:r>
      <w:r w:rsidRPr="003B4185">
        <w:br/>
        <w:t>6. Мортон А.Л. История Англии. М., 1950.</w:t>
      </w:r>
      <w:r w:rsidRPr="003B4185">
        <w:br/>
        <w:t>7. Некрасова Е. Очерки по истории английской карикатуры конца XVIII – XIX вв. Л., 1935</w:t>
      </w:r>
      <w:r w:rsidRPr="003B4185">
        <w:br/>
        <w:t>8. Тревельян Д.М. Социальная история Англии. М., 1959</w:t>
      </w:r>
      <w:r w:rsidRPr="003B4185">
        <w:br/>
        <w:t>9. Шестаков В.П. Гиллрей и другие… Золотой век английской карикатуры. М., 2004</w:t>
      </w:r>
    </w:p>
    <w:p w:rsidR="003B4185" w:rsidRPr="003B4185" w:rsidRDefault="003B4185" w:rsidP="003B4185">
      <w:pPr>
        <w:spacing w:before="0" w:after="0"/>
        <w:jc w:val="left"/>
        <w:rPr>
          <w:lang w:val="en-US"/>
        </w:rPr>
      </w:pPr>
      <w:r>
        <w:t>1. Теккерей У.М. Публицистика 1833-1848 гг. / Собр. Соч. в 12 т. М., 1975. Т</w:t>
      </w:r>
      <w:r w:rsidRPr="003B4185">
        <w:rPr>
          <w:lang w:val="en-US"/>
        </w:rPr>
        <w:t>. 2.</w:t>
      </w:r>
    </w:p>
    <w:p w:rsidR="003B4185" w:rsidRPr="003B4185" w:rsidRDefault="003B4185" w:rsidP="003B4185">
      <w:pPr>
        <w:spacing w:before="0" w:after="0"/>
        <w:jc w:val="left"/>
        <w:rPr>
          <w:lang w:val="en-US"/>
        </w:rPr>
      </w:pPr>
      <w:r w:rsidRPr="003B4185">
        <w:rPr>
          <w:lang w:val="en-US"/>
        </w:rPr>
        <w:t xml:space="preserve">2. Briggs, A. The Age of Improvement, 1783-1867. </w:t>
      </w:r>
      <w:smartTag w:uri="urn:schemas-microsoft-com:office:smarttags" w:element="place">
        <w:r w:rsidRPr="003B4185">
          <w:rPr>
            <w:lang w:val="en-US"/>
          </w:rPr>
          <w:t>Harlow</w:t>
        </w:r>
      </w:smartTag>
      <w:r w:rsidRPr="003B4185">
        <w:rPr>
          <w:lang w:val="en-US"/>
        </w:rPr>
        <w:t>: Pearson, 1959.</w:t>
      </w:r>
    </w:p>
    <w:p w:rsidR="003B4185" w:rsidRDefault="003B4185" w:rsidP="003B4185">
      <w:pPr>
        <w:spacing w:before="0" w:after="0"/>
        <w:jc w:val="left"/>
      </w:pPr>
      <w:r w:rsidRPr="003B4185">
        <w:rPr>
          <w:lang w:val="en-US"/>
        </w:rPr>
        <w:t xml:space="preserve">3. Gash, N. Aristocracy and People: </w:t>
      </w:r>
      <w:smartTag w:uri="urn:schemas-microsoft-com:office:smarttags" w:element="country-region">
        <w:smartTag w:uri="urn:schemas-microsoft-com:office:smarttags" w:element="place">
          <w:r w:rsidRPr="003B4185">
            <w:rPr>
              <w:lang w:val="en-US"/>
            </w:rPr>
            <w:t>Britain</w:t>
          </w:r>
        </w:smartTag>
      </w:smartTag>
      <w:r w:rsidRPr="003B4185">
        <w:rPr>
          <w:lang w:val="en-US"/>
        </w:rPr>
        <w:t xml:space="preserve"> 1818-1865. </w:t>
      </w:r>
      <w:r>
        <w:t>Cambridge: Harvard Univ. Press, 1979.</w:t>
      </w:r>
    </w:p>
    <w:p w:rsidR="004C1E53" w:rsidRPr="004C1E53" w:rsidRDefault="003B4185" w:rsidP="003B4185">
      <w:pPr>
        <w:spacing w:before="0" w:after="0"/>
        <w:jc w:val="left"/>
      </w:pPr>
      <w:r w:rsidRPr="003B4185">
        <w:rPr>
          <w:lang w:val="en-US"/>
        </w:rPr>
        <w:t xml:space="preserve">4. Kitson Clark, G.S.R. The Making of Victorian </w:t>
      </w:r>
      <w:smartTag w:uri="urn:schemas-microsoft-com:office:smarttags" w:element="country-region">
        <w:smartTag w:uri="urn:schemas-microsoft-com:office:smarttags" w:element="place">
          <w:r w:rsidRPr="003B4185">
            <w:rPr>
              <w:lang w:val="en-US"/>
            </w:rPr>
            <w:t>England</w:t>
          </w:r>
        </w:smartTag>
      </w:smartTag>
      <w:r w:rsidRPr="003B4185">
        <w:rPr>
          <w:lang w:val="en-US"/>
        </w:rPr>
        <w:t xml:space="preserve">. </w:t>
      </w:r>
      <w:r>
        <w:t>L.: Methuen, 1962.</w:t>
      </w:r>
      <w:r w:rsidRPr="003B4185">
        <w:br/>
      </w:r>
    </w:p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1. http://www.cartoons.ac.uk/ -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British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Cartoon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Nam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Archive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smartTag w:uri="urn:schemas-microsoft-com:office:smarttags" w:element="PlaceType"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>University</w:t>
        </w:r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Kent</w:t>
          </w:r>
        </w:smartTag>
      </w:smartTag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2. http://www.britishmuseum.org/research/collection_online/search.aspx?searchText=cartoon – The </w:t>
      </w:r>
      <w:smartTag w:uri="urn:schemas-microsoft-com:office:smarttags" w:element="place">
        <w:smartTag w:uri="urn:schemas-microsoft-com:office:smarttags" w:element="PlaceNam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British</w:t>
          </w:r>
        </w:smartTag>
        <w:r w:rsidRPr="00CC0F07">
          <w:rPr>
            <w:rFonts w:ascii="Calibri" w:hAnsi="Calibri"/>
            <w:color w:val="0000FF"/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CC0F07">
            <w:rPr>
              <w:rFonts w:ascii="Calibri" w:hAnsi="Calibri"/>
              <w:color w:val="0000FF"/>
              <w:sz w:val="22"/>
              <w:u w:val="single"/>
              <w:lang w:val="en-US"/>
            </w:rPr>
            <w:t>Museum</w:t>
          </w:r>
        </w:smartTag>
      </w:smartTag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 Collection Online</w:t>
      </w:r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 xml:space="preserve">3. http://www.bodleian.ox.ac.uk/johnson/jj-images/galleries/political - John Johnson Collection Bodleian Libraries </w:t>
      </w:r>
    </w:p>
    <w:p w:rsidR="00CC0F07" w:rsidRPr="00CC0F07" w:rsidRDefault="00CC0F07" w:rsidP="00CC0F07">
      <w:pPr>
        <w:rPr>
          <w:rFonts w:ascii="Calibri" w:hAnsi="Calibri"/>
          <w:color w:val="0000FF"/>
          <w:sz w:val="22"/>
          <w:u w:val="single"/>
        </w:rPr>
      </w:pPr>
      <w:r w:rsidRPr="00CC0F07">
        <w:rPr>
          <w:rFonts w:ascii="Calibri" w:hAnsi="Calibri"/>
          <w:color w:val="0000FF"/>
          <w:sz w:val="22"/>
          <w:u w:val="single"/>
        </w:rPr>
        <w:t>4. http://www.gutenberg.org/wiki/Punch_(Bookshelf) – Гутенберг проект. Выпуски “Punch”</w:t>
      </w:r>
    </w:p>
    <w:p w:rsidR="004C1E53" w:rsidRPr="00CC0F07" w:rsidRDefault="00CC0F07" w:rsidP="00CC0F07">
      <w:pPr>
        <w:rPr>
          <w:rFonts w:ascii="Calibri" w:hAnsi="Calibri"/>
          <w:color w:val="0000FF"/>
          <w:sz w:val="22"/>
          <w:u w:val="single"/>
          <w:lang w:val="en-US"/>
        </w:rPr>
      </w:pPr>
      <w:r w:rsidRPr="00CC0F07">
        <w:rPr>
          <w:rFonts w:ascii="Calibri" w:hAnsi="Calibri"/>
          <w:color w:val="0000FF"/>
          <w:sz w:val="22"/>
          <w:u w:val="single"/>
          <w:lang w:val="en-US"/>
        </w:rPr>
        <w:t>5. http://images.library.yale.edu/walpoleweb/ - Lewis Walpole Library</w:t>
      </w:r>
    </w:p>
    <w:bookmarkEnd w:id="0"/>
    <w:p w:rsidR="004C1E53" w:rsidRPr="00CC0F07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  <w:lang w:val="en-US"/>
        </w:rPr>
      </w:pPr>
    </w:p>
    <w:sectPr w:rsidR="004C1E53" w:rsidRPr="00CC0F07" w:rsidSect="004C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1B" w:rsidRDefault="003A521B">
      <w:pPr>
        <w:spacing w:before="0" w:after="0"/>
      </w:pPr>
      <w:r>
        <w:separator/>
      </w:r>
    </w:p>
  </w:endnote>
  <w:endnote w:type="continuationSeparator" w:id="1">
    <w:p w:rsidR="003A521B" w:rsidRDefault="003A52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1B" w:rsidRDefault="003A521B">
      <w:pPr>
        <w:spacing w:before="0" w:after="0"/>
      </w:pPr>
      <w:r>
        <w:separator/>
      </w:r>
    </w:p>
  </w:footnote>
  <w:footnote w:type="continuationSeparator" w:id="1">
    <w:p w:rsidR="003A521B" w:rsidRDefault="003A52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4"/>
      <w:jc w:val="center"/>
    </w:pPr>
    <w:fldSimple w:instr="PAGE   \* MERGEFORMAT">
      <w:r w:rsidR="002F5F0B">
        <w:rPr>
          <w:noProof/>
        </w:rPr>
        <w:t>2</w:t>
      </w:r>
    </w:fldSimple>
  </w:p>
  <w:p w:rsidR="004F0CC3" w:rsidRDefault="004F0C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3" w:rsidRDefault="004F0C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8C6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B65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1ED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504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89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68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F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A0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86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1">
    <w:nsid w:val="00654705"/>
    <w:multiLevelType w:val="hybridMultilevel"/>
    <w:tmpl w:val="B04E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0B01E0"/>
    <w:multiLevelType w:val="hybridMultilevel"/>
    <w:tmpl w:val="0E4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00B5958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284627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FD6619"/>
    <w:multiLevelType w:val="hybridMultilevel"/>
    <w:tmpl w:val="AA52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610FBC"/>
    <w:multiLevelType w:val="hybridMultilevel"/>
    <w:tmpl w:val="066242FE"/>
    <w:lvl w:ilvl="0" w:tplc="C62A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5"/>
  </w:num>
  <w:num w:numId="5">
    <w:abstractNumId w:val="22"/>
  </w:num>
  <w:num w:numId="6">
    <w:abstractNumId w:val="14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20"/>
  </w:num>
  <w:num w:numId="15">
    <w:abstractNumId w:val="26"/>
  </w:num>
  <w:num w:numId="16">
    <w:abstractNumId w:val="29"/>
  </w:num>
  <w:num w:numId="17">
    <w:abstractNumId w:val="19"/>
  </w:num>
  <w:num w:numId="18">
    <w:abstractNumId w:val="13"/>
  </w:num>
  <w:num w:numId="19">
    <w:abstractNumId w:val="27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63D36"/>
    <w:rsid w:val="00077961"/>
    <w:rsid w:val="000A3953"/>
    <w:rsid w:val="000D2F5E"/>
    <w:rsid w:val="000D3DA3"/>
    <w:rsid w:val="000F3F17"/>
    <w:rsid w:val="00103F53"/>
    <w:rsid w:val="00105264"/>
    <w:rsid w:val="001436BE"/>
    <w:rsid w:val="00146AB5"/>
    <w:rsid w:val="001667A0"/>
    <w:rsid w:val="001707F9"/>
    <w:rsid w:val="0017722D"/>
    <w:rsid w:val="00180DF8"/>
    <w:rsid w:val="001957B2"/>
    <w:rsid w:val="001A6355"/>
    <w:rsid w:val="001A787C"/>
    <w:rsid w:val="001C1A83"/>
    <w:rsid w:val="001C6627"/>
    <w:rsid w:val="001D24DE"/>
    <w:rsid w:val="002151D9"/>
    <w:rsid w:val="00236487"/>
    <w:rsid w:val="00276EF1"/>
    <w:rsid w:val="0028637A"/>
    <w:rsid w:val="002866A1"/>
    <w:rsid w:val="002B7734"/>
    <w:rsid w:val="002C49DB"/>
    <w:rsid w:val="002D3888"/>
    <w:rsid w:val="002D4720"/>
    <w:rsid w:val="002F5F0B"/>
    <w:rsid w:val="00326548"/>
    <w:rsid w:val="00333D55"/>
    <w:rsid w:val="00335619"/>
    <w:rsid w:val="00344884"/>
    <w:rsid w:val="00350B9D"/>
    <w:rsid w:val="003A521B"/>
    <w:rsid w:val="003A5E4C"/>
    <w:rsid w:val="003B4185"/>
    <w:rsid w:val="003B7DCF"/>
    <w:rsid w:val="003D4369"/>
    <w:rsid w:val="004109FA"/>
    <w:rsid w:val="00414853"/>
    <w:rsid w:val="00433307"/>
    <w:rsid w:val="0045384C"/>
    <w:rsid w:val="00484E11"/>
    <w:rsid w:val="00493C94"/>
    <w:rsid w:val="004A72AB"/>
    <w:rsid w:val="004B1DE1"/>
    <w:rsid w:val="004C1E53"/>
    <w:rsid w:val="004E1912"/>
    <w:rsid w:val="004E4C2C"/>
    <w:rsid w:val="004E7E8E"/>
    <w:rsid w:val="004F0CC3"/>
    <w:rsid w:val="0050086F"/>
    <w:rsid w:val="005136FD"/>
    <w:rsid w:val="00542FFC"/>
    <w:rsid w:val="00546538"/>
    <w:rsid w:val="0055292C"/>
    <w:rsid w:val="00572D61"/>
    <w:rsid w:val="00582C1C"/>
    <w:rsid w:val="005975C4"/>
    <w:rsid w:val="005A691C"/>
    <w:rsid w:val="005B6133"/>
    <w:rsid w:val="005F5EFB"/>
    <w:rsid w:val="00614C0C"/>
    <w:rsid w:val="00621026"/>
    <w:rsid w:val="006245C8"/>
    <w:rsid w:val="0063586E"/>
    <w:rsid w:val="00642840"/>
    <w:rsid w:val="00651673"/>
    <w:rsid w:val="006B4E8D"/>
    <w:rsid w:val="006E5FA4"/>
    <w:rsid w:val="006F36DB"/>
    <w:rsid w:val="00721C40"/>
    <w:rsid w:val="00744494"/>
    <w:rsid w:val="00746212"/>
    <w:rsid w:val="0075560F"/>
    <w:rsid w:val="007763EE"/>
    <w:rsid w:val="007A45A8"/>
    <w:rsid w:val="007A74A1"/>
    <w:rsid w:val="007D5BA3"/>
    <w:rsid w:val="007F194D"/>
    <w:rsid w:val="007F3ABF"/>
    <w:rsid w:val="00813595"/>
    <w:rsid w:val="008158D3"/>
    <w:rsid w:val="008303A8"/>
    <w:rsid w:val="00840CF5"/>
    <w:rsid w:val="008629EA"/>
    <w:rsid w:val="008724DA"/>
    <w:rsid w:val="0088641C"/>
    <w:rsid w:val="00890991"/>
    <w:rsid w:val="008966FB"/>
    <w:rsid w:val="008D24A2"/>
    <w:rsid w:val="008D335F"/>
    <w:rsid w:val="008F07BC"/>
    <w:rsid w:val="00910B72"/>
    <w:rsid w:val="0093339C"/>
    <w:rsid w:val="00962634"/>
    <w:rsid w:val="00967CE7"/>
    <w:rsid w:val="009A1379"/>
    <w:rsid w:val="009A70CA"/>
    <w:rsid w:val="009F59A5"/>
    <w:rsid w:val="009F5FC1"/>
    <w:rsid w:val="009F65AE"/>
    <w:rsid w:val="00A03714"/>
    <w:rsid w:val="00A059CA"/>
    <w:rsid w:val="00A27117"/>
    <w:rsid w:val="00A86A34"/>
    <w:rsid w:val="00A9200B"/>
    <w:rsid w:val="00AC2594"/>
    <w:rsid w:val="00AC26BC"/>
    <w:rsid w:val="00AD429F"/>
    <w:rsid w:val="00AD5338"/>
    <w:rsid w:val="00AE5E43"/>
    <w:rsid w:val="00AE6C35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C79BD"/>
    <w:rsid w:val="00BE04DC"/>
    <w:rsid w:val="00C018DF"/>
    <w:rsid w:val="00C06F72"/>
    <w:rsid w:val="00C2441A"/>
    <w:rsid w:val="00C34880"/>
    <w:rsid w:val="00C411DF"/>
    <w:rsid w:val="00C5195C"/>
    <w:rsid w:val="00C54818"/>
    <w:rsid w:val="00C730E5"/>
    <w:rsid w:val="00CC0F07"/>
    <w:rsid w:val="00CE5C77"/>
    <w:rsid w:val="00CF2D4C"/>
    <w:rsid w:val="00D0536A"/>
    <w:rsid w:val="00D12F48"/>
    <w:rsid w:val="00D320CD"/>
    <w:rsid w:val="00D34039"/>
    <w:rsid w:val="00DB0756"/>
    <w:rsid w:val="00DC65E6"/>
    <w:rsid w:val="00DE322A"/>
    <w:rsid w:val="00E17295"/>
    <w:rsid w:val="00E2723F"/>
    <w:rsid w:val="00E41201"/>
    <w:rsid w:val="00E42E20"/>
    <w:rsid w:val="00E50384"/>
    <w:rsid w:val="00E51B3C"/>
    <w:rsid w:val="00E542C4"/>
    <w:rsid w:val="00E57537"/>
    <w:rsid w:val="00E600FE"/>
    <w:rsid w:val="00E61503"/>
    <w:rsid w:val="00E65B0A"/>
    <w:rsid w:val="00E91732"/>
    <w:rsid w:val="00EA6B38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rsid w:val="00484E11"/>
    <w:pPr>
      <w:spacing w:before="0" w:after="0"/>
      <w:ind w:left="720"/>
      <w:contextualSpacing/>
      <w:jc w:val="left"/>
    </w:pPr>
    <w:rPr>
      <w:szCs w:val="24"/>
      <w:lang w:eastAsia="ru-RU"/>
    </w:rPr>
  </w:style>
  <w:style w:type="paragraph" w:styleId="af1">
    <w:name w:val="Normal (Web)"/>
    <w:basedOn w:val="a"/>
    <w:rsid w:val="004F0C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4F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bibliotek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16431</CharactersWithSpaces>
  <SharedDoc>false</SharedDoc>
  <HLinks>
    <vt:vector size="12" baseType="variant">
      <vt:variant>
        <vt:i4>8126573</vt:i4>
      </vt:variant>
      <vt:variant>
        <vt:i4>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8192125</vt:i4>
      </vt:variant>
      <vt:variant>
        <vt:i4>2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cp:lastModifiedBy>Lenich</cp:lastModifiedBy>
  <cp:revision>2</cp:revision>
  <cp:lastPrinted>2013-11-20T06:48:00Z</cp:lastPrinted>
  <dcterms:created xsi:type="dcterms:W3CDTF">2017-01-25T12:34:00Z</dcterms:created>
  <dcterms:modified xsi:type="dcterms:W3CDTF">2017-01-25T12:34:00Z</dcterms:modified>
</cp:coreProperties>
</file>